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FDC" w:rsidRDefault="007B2FDC">
      <w:r>
        <w:rPr>
          <w:noProof/>
        </w:rPr>
        <mc:AlternateContent>
          <mc:Choice Requires="wps">
            <w:drawing>
              <wp:anchor distT="0" distB="0" distL="114300" distR="114300" simplePos="0" relativeHeight="251659264" behindDoc="0" locked="0" layoutInCell="0" allowOverlap="1">
                <wp:simplePos x="0" y="0"/>
                <wp:positionH relativeFrom="column">
                  <wp:posOffset>-52070</wp:posOffset>
                </wp:positionH>
                <wp:positionV relativeFrom="paragraph">
                  <wp:posOffset>-694690</wp:posOffset>
                </wp:positionV>
                <wp:extent cx="4114800" cy="82296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2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2FDC" w:rsidRDefault="007B2FDC">
                            <w:pPr>
                              <w:rPr>
                                <w:i/>
                                <w:sz w:val="100"/>
                              </w:rPr>
                            </w:pPr>
                            <w:proofErr w:type="gramStart"/>
                            <w:r>
                              <w:rPr>
                                <w:i/>
                                <w:sz w:val="100"/>
                              </w:rPr>
                              <w:t>memorandum</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pt;margin-top:-54.7pt;width:324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KNgQIAAA8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" o:allowincell="f" stroked="f">
                <v:textbox>
                  <w:txbxContent>
                    <w:p w:rsidR="007B2FDC" w:rsidRDefault="007B2FDC">
                      <w:pPr>
                        <w:rPr>
                          <w:i/>
                          <w:sz w:val="100"/>
                        </w:rPr>
                      </w:pPr>
                      <w:proofErr w:type="gramStart"/>
                      <w:r>
                        <w:rPr>
                          <w:i/>
                          <w:sz w:val="100"/>
                        </w:rPr>
                        <w:t>memorandum</w:t>
                      </w:r>
                      <w:proofErr w:type="gramEnd"/>
                    </w:p>
                  </w:txbxContent>
                </v:textbox>
              </v:shape>
            </w:pict>
          </mc:Fallback>
        </mc:AlternateContent>
      </w:r>
    </w:p>
    <w:tbl>
      <w:tblPr>
        <w:tblW w:w="0" w:type="auto"/>
        <w:tblInd w:w="2178" w:type="dxa"/>
        <w:tblLayout w:type="fixed"/>
        <w:tblCellMar>
          <w:left w:w="0" w:type="dxa"/>
          <w:right w:w="0" w:type="dxa"/>
        </w:tblCellMar>
        <w:tblLook w:val="0000" w:firstRow="0" w:lastRow="0" w:firstColumn="0" w:lastColumn="0" w:noHBand="0" w:noVBand="0"/>
      </w:tblPr>
      <w:tblGrid>
        <w:gridCol w:w="6840"/>
      </w:tblGrid>
      <w:tr w:rsidR="007B2FDC">
        <w:tc>
          <w:tcPr>
            <w:tcW w:w="6840" w:type="dxa"/>
          </w:tcPr>
          <w:p w:rsidR="007B2FDC" w:rsidRDefault="00861B22">
            <w:pPr>
              <w:rPr>
                <w:b/>
              </w:rPr>
            </w:pPr>
            <w:r>
              <w:rPr>
                <w:b/>
                <w:sz w:val="30"/>
              </w:rPr>
              <w:t>Environment &amp; Natural Resources</w:t>
            </w:r>
          </w:p>
        </w:tc>
      </w:tr>
    </w:tbl>
    <w:p w:rsidR="007B2FDC" w:rsidRDefault="007B2FDC"/>
    <w:p w:rsidR="007B2FDC" w:rsidRDefault="007B2FDC"/>
    <w:tbl>
      <w:tblPr>
        <w:tblW w:w="9018" w:type="dxa"/>
        <w:tblLayout w:type="fixed"/>
        <w:tblCellMar>
          <w:left w:w="0" w:type="dxa"/>
          <w:right w:w="0" w:type="dxa"/>
        </w:tblCellMar>
        <w:tblLook w:val="0000" w:firstRow="0" w:lastRow="0" w:firstColumn="0" w:lastColumn="0" w:noHBand="0" w:noVBand="0"/>
      </w:tblPr>
      <w:tblGrid>
        <w:gridCol w:w="1296"/>
        <w:gridCol w:w="7722"/>
      </w:tblGrid>
      <w:tr w:rsidR="007B2FDC" w:rsidTr="00165891">
        <w:tc>
          <w:tcPr>
            <w:tcW w:w="1296" w:type="dxa"/>
          </w:tcPr>
          <w:p w:rsidR="007B2FDC" w:rsidRDefault="007B2FDC">
            <w:pPr>
              <w:rPr>
                <w:b/>
              </w:rPr>
            </w:pPr>
            <w:r>
              <w:rPr>
                <w:rFonts w:ascii="Arial" w:hAnsi="Arial"/>
                <w:b/>
              </w:rPr>
              <w:t>Date</w:t>
            </w:r>
          </w:p>
        </w:tc>
        <w:tc>
          <w:tcPr>
            <w:tcW w:w="7722" w:type="dxa"/>
          </w:tcPr>
          <w:p w:rsidR="007B2FDC" w:rsidRDefault="007B2FDC" w:rsidP="006D1B73">
            <w:pPr>
              <w:rPr>
                <w:b/>
              </w:rPr>
            </w:pPr>
            <w:r>
              <w:fldChar w:fldCharType="begin"/>
            </w:r>
            <w:r>
              <w:instrText xml:space="preserve"> CREATEDATE \@ "MMMM d, yyyy" \* MERGEFORMAT </w:instrText>
            </w:r>
            <w:r>
              <w:fldChar w:fldCharType="separate"/>
            </w:r>
            <w:r w:rsidR="006D1B73">
              <w:rPr>
                <w:noProof/>
              </w:rPr>
              <w:t>October</w:t>
            </w:r>
            <w:r w:rsidR="00236547">
              <w:rPr>
                <w:noProof/>
              </w:rPr>
              <w:t xml:space="preserve"> </w:t>
            </w:r>
            <w:r w:rsidR="006D1B73">
              <w:rPr>
                <w:noProof/>
              </w:rPr>
              <w:t>1</w:t>
            </w:r>
            <w:r w:rsidR="00236547">
              <w:rPr>
                <w:noProof/>
              </w:rPr>
              <w:t>, 2015</w:t>
            </w:r>
            <w:r>
              <w:fldChar w:fldCharType="end"/>
            </w:r>
          </w:p>
        </w:tc>
      </w:tr>
      <w:tr w:rsidR="007B2FDC" w:rsidTr="00165891">
        <w:trPr>
          <w:gridAfter w:val="1"/>
          <w:wAfter w:w="7722" w:type="dxa"/>
          <w:cantSplit/>
        </w:trPr>
        <w:tc>
          <w:tcPr>
            <w:tcW w:w="1296" w:type="dxa"/>
          </w:tcPr>
          <w:p w:rsidR="007B2FDC" w:rsidRDefault="007B2FDC">
            <w:pPr>
              <w:rPr>
                <w:b/>
              </w:rPr>
            </w:pPr>
          </w:p>
        </w:tc>
      </w:tr>
      <w:tr w:rsidR="007B2FDC" w:rsidTr="00165891">
        <w:tc>
          <w:tcPr>
            <w:tcW w:w="1296" w:type="dxa"/>
          </w:tcPr>
          <w:p w:rsidR="007B2FDC" w:rsidRDefault="007B2FDC">
            <w:pPr>
              <w:rPr>
                <w:b/>
              </w:rPr>
            </w:pPr>
            <w:r>
              <w:rPr>
                <w:rFonts w:ascii="Arial" w:hAnsi="Arial"/>
                <w:b/>
              </w:rPr>
              <w:t>To</w:t>
            </w:r>
          </w:p>
        </w:tc>
        <w:tc>
          <w:tcPr>
            <w:tcW w:w="7722" w:type="dxa"/>
          </w:tcPr>
          <w:p w:rsidR="007B2FDC" w:rsidRDefault="00861B22">
            <w:pPr>
              <w:rPr>
                <w:b/>
              </w:rPr>
            </w:pPr>
            <w:r>
              <w:t xml:space="preserve">Theresa Pella, Executive Director, </w:t>
            </w:r>
            <w:proofErr w:type="spellStart"/>
            <w:r>
              <w:t>CenSARA</w:t>
            </w:r>
            <w:proofErr w:type="spellEnd"/>
          </w:p>
        </w:tc>
      </w:tr>
      <w:tr w:rsidR="007B2FDC" w:rsidTr="00165891">
        <w:trPr>
          <w:gridAfter w:val="1"/>
          <w:wAfter w:w="7722" w:type="dxa"/>
          <w:cantSplit/>
        </w:trPr>
        <w:tc>
          <w:tcPr>
            <w:tcW w:w="1296" w:type="dxa"/>
          </w:tcPr>
          <w:p w:rsidR="007B2FDC" w:rsidRDefault="007B2FDC">
            <w:pPr>
              <w:rPr>
                <w:b/>
              </w:rPr>
            </w:pPr>
          </w:p>
        </w:tc>
      </w:tr>
      <w:tr w:rsidR="007B2FDC" w:rsidTr="00165891">
        <w:tc>
          <w:tcPr>
            <w:tcW w:w="1296" w:type="dxa"/>
          </w:tcPr>
          <w:p w:rsidR="007B2FDC" w:rsidRDefault="007B2FDC">
            <w:pPr>
              <w:rPr>
                <w:b/>
              </w:rPr>
            </w:pPr>
            <w:r>
              <w:rPr>
                <w:rFonts w:ascii="Arial" w:hAnsi="Arial"/>
                <w:b/>
              </w:rPr>
              <w:t>From</w:t>
            </w:r>
          </w:p>
        </w:tc>
        <w:tc>
          <w:tcPr>
            <w:tcW w:w="7722" w:type="dxa"/>
          </w:tcPr>
          <w:p w:rsidR="007B2FDC" w:rsidRDefault="00861B22">
            <w:pPr>
              <w:rPr>
                <w:b/>
              </w:rPr>
            </w:pPr>
            <w:r>
              <w:t>Jonathan Dorn, Associate/Scientist</w:t>
            </w:r>
          </w:p>
        </w:tc>
      </w:tr>
      <w:tr w:rsidR="007B2FDC" w:rsidTr="00165891">
        <w:trPr>
          <w:gridAfter w:val="1"/>
          <w:wAfter w:w="7722" w:type="dxa"/>
          <w:cantSplit/>
        </w:trPr>
        <w:tc>
          <w:tcPr>
            <w:tcW w:w="1296" w:type="dxa"/>
          </w:tcPr>
          <w:p w:rsidR="007B2FDC" w:rsidRDefault="007B2FDC">
            <w:pPr>
              <w:rPr>
                <w:b/>
              </w:rPr>
            </w:pPr>
          </w:p>
        </w:tc>
      </w:tr>
      <w:tr w:rsidR="007B2FDC" w:rsidTr="00165891">
        <w:tc>
          <w:tcPr>
            <w:tcW w:w="1296" w:type="dxa"/>
          </w:tcPr>
          <w:p w:rsidR="007B2FDC" w:rsidRDefault="007B2FDC">
            <w:pPr>
              <w:rPr>
                <w:b/>
              </w:rPr>
            </w:pPr>
            <w:r>
              <w:rPr>
                <w:rFonts w:ascii="Arial" w:hAnsi="Arial"/>
                <w:b/>
              </w:rPr>
              <w:t>Subject</w:t>
            </w:r>
          </w:p>
        </w:tc>
        <w:tc>
          <w:tcPr>
            <w:tcW w:w="7722" w:type="dxa"/>
          </w:tcPr>
          <w:p w:rsidR="007B2FDC" w:rsidRDefault="00861B22">
            <w:pPr>
              <w:rPr>
                <w:b/>
              </w:rPr>
            </w:pPr>
            <w:r>
              <w:t>Silt Database Documentation</w:t>
            </w:r>
          </w:p>
        </w:tc>
      </w:tr>
    </w:tbl>
    <w:p w:rsidR="007B2FDC" w:rsidRDefault="007B2FDC"/>
    <w:p w:rsidR="007B2FDC" w:rsidRDefault="00861B22">
      <w:r>
        <w:t xml:space="preserve">This memorandum describes the methodology Abt Associates used to develop county-level, average silt content values for surface soil. The soil sample data are from the </w:t>
      </w:r>
      <w:r w:rsidRPr="00861B22">
        <w:t>National Cooperative Soil Survey Microsoft Access Soil Characterization Database</w:t>
      </w:r>
      <w:r>
        <w:t>.</w:t>
      </w:r>
      <w:r>
        <w:rPr>
          <w:rStyle w:val="FootnoteReference"/>
        </w:rPr>
        <w:footnoteReference w:id="1"/>
      </w:r>
      <w:r>
        <w:t xml:space="preserve"> This database </w:t>
      </w:r>
      <w:r w:rsidRPr="00861B22">
        <w:t xml:space="preserve">contains the most commonly requested data from the National Cooperative Soil Survey Laboratories </w:t>
      </w:r>
      <w:r>
        <w:t>including</w:t>
      </w:r>
      <w:r w:rsidRPr="00861B22">
        <w:t xml:space="preserve"> data from the Kellogg Soil Survey Laboratory and cooperating universities. </w:t>
      </w:r>
      <w:r w:rsidR="00853943">
        <w:t xml:space="preserve">Figure 1 below shows the locations of the sampled </w:t>
      </w:r>
      <w:proofErr w:type="spellStart"/>
      <w:r w:rsidR="00853943">
        <w:t>pedons</w:t>
      </w:r>
      <w:proofErr w:type="spellEnd"/>
      <w:r w:rsidR="00853943">
        <w:t xml:space="preserve"> included in the database</w:t>
      </w:r>
      <w:r w:rsidRPr="00861B22">
        <w:t>.</w:t>
      </w:r>
      <w:r w:rsidR="00671910">
        <w:t xml:space="preserve"> This database defines total silt </w:t>
      </w:r>
      <w:r w:rsidR="00671910" w:rsidRPr="00671910">
        <w:t>content of surface soil as the percentage of particles (mass b</w:t>
      </w:r>
      <w:r w:rsidR="00671910">
        <w:t xml:space="preserve">asis) of diameter smaller than </w:t>
      </w:r>
      <w:r w:rsidR="00671910" w:rsidRPr="00671910">
        <w:t xml:space="preserve">50 micrometers (µm) found in the surface </w:t>
      </w:r>
      <w:r w:rsidR="00671910">
        <w:t>layer (master horizon A or O).</w:t>
      </w:r>
    </w:p>
    <w:p w:rsidR="00861B22" w:rsidRDefault="00861B22"/>
    <w:p w:rsidR="00861B22" w:rsidRPr="00853943" w:rsidRDefault="00853943" w:rsidP="00853943">
      <w:pPr>
        <w:jc w:val="center"/>
        <w:rPr>
          <w:b/>
          <w:sz w:val="20"/>
        </w:rPr>
      </w:pPr>
      <w:r w:rsidRPr="00853943">
        <w:rPr>
          <w:b/>
          <w:sz w:val="20"/>
        </w:rPr>
        <w:t>Figure1. Locations of Sample</w:t>
      </w:r>
      <w:r>
        <w:rPr>
          <w:b/>
          <w:sz w:val="20"/>
        </w:rPr>
        <w:t>d</w:t>
      </w:r>
      <w:r w:rsidRPr="00853943">
        <w:rPr>
          <w:b/>
          <w:sz w:val="20"/>
        </w:rPr>
        <w:t xml:space="preserve"> </w:t>
      </w:r>
      <w:proofErr w:type="spellStart"/>
      <w:r w:rsidRPr="00853943">
        <w:rPr>
          <w:b/>
          <w:sz w:val="20"/>
        </w:rPr>
        <w:t>Pedons</w:t>
      </w:r>
      <w:proofErr w:type="spellEnd"/>
    </w:p>
    <w:p w:rsidR="00861B22" w:rsidRDefault="00861B22">
      <w:r>
        <w:rPr>
          <w:noProof/>
        </w:rPr>
        <w:drawing>
          <wp:inline distT="0" distB="0" distL="0" distR="0">
            <wp:extent cx="5486400" cy="3022419"/>
            <wp:effectExtent l="0" t="0" r="0" b="6985"/>
            <wp:docPr id="2" name="Picture 2" descr="http://ncsslabdatamart.sc.egov.usda.gov/images/point_data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csslabdatamart.sc.egov.usda.gov/images/point_data_ma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022419"/>
                    </a:xfrm>
                    <a:prstGeom prst="rect">
                      <a:avLst/>
                    </a:prstGeom>
                    <a:noFill/>
                    <a:ln>
                      <a:noFill/>
                    </a:ln>
                  </pic:spPr>
                </pic:pic>
              </a:graphicData>
            </a:graphic>
          </wp:inline>
        </w:drawing>
      </w:r>
    </w:p>
    <w:p w:rsidR="00853943" w:rsidRDefault="00853943"/>
    <w:p w:rsidR="00853943" w:rsidRDefault="00853943">
      <w:r>
        <w:t>Abt Associates applied specific selection criteria to the database to ensure that all samples are comparable and relevant to this analysis. The selection criteria included selecting only samples taken inside the United States</w:t>
      </w:r>
      <w:r w:rsidR="00515C86">
        <w:t xml:space="preserve"> with a prepara</w:t>
      </w:r>
      <w:bookmarkStart w:id="0" w:name="_GoBack"/>
      <w:bookmarkEnd w:id="0"/>
      <w:r w:rsidR="00515C86">
        <w:t>tion code of S and a horizon top of zero centimeters</w:t>
      </w:r>
      <w:r w:rsidR="00B04E44">
        <w:t xml:space="preserve"> or a master horizon of A or O</w:t>
      </w:r>
      <w:r w:rsidR="00515C86">
        <w:t>.</w:t>
      </w:r>
      <w:r w:rsidR="00B04E44">
        <w:t xml:space="preserve"> A preparation code of S signifies that the sample is the</w:t>
      </w:r>
      <w:r w:rsidR="00B04E44" w:rsidRPr="00B04E44">
        <w:t xml:space="preserve"> air-dried </w:t>
      </w:r>
      <w:r w:rsidR="00B04E44" w:rsidRPr="00B04E44">
        <w:lastRenderedPageBreak/>
        <w:t xml:space="preserve">whole soil passing </w:t>
      </w:r>
      <w:r w:rsidR="00B04E44">
        <w:t xml:space="preserve">through </w:t>
      </w:r>
      <w:r w:rsidR="00B04E44" w:rsidRPr="00B04E44">
        <w:t>a 3 inch sieve</w:t>
      </w:r>
      <w:r w:rsidR="00B04E44">
        <w:t xml:space="preserve"> and a horizon top of zero or master horizon of A or O ensures that the sample is taken at the surface. </w:t>
      </w:r>
    </w:p>
    <w:p w:rsidR="00671910" w:rsidRDefault="00671910"/>
    <w:p w:rsidR="00B04E44" w:rsidRDefault="00B04E44">
      <w:r>
        <w:t xml:space="preserve">In some cases, the sample metadata did not indicate a county, but included latitude and longitude coordinates. In these cases, the state and county information were reverse geocoded from the </w:t>
      </w:r>
      <w:proofErr w:type="spellStart"/>
      <w:r>
        <w:t>lat</w:t>
      </w:r>
      <w:proofErr w:type="spellEnd"/>
      <w:r>
        <w:t>-long coordinates</w:t>
      </w:r>
      <w:r w:rsidR="00263159">
        <w:t xml:space="preserve"> and added to the sample entry in the database</w:t>
      </w:r>
      <w:r>
        <w:t>.</w:t>
      </w:r>
      <w:r>
        <w:rPr>
          <w:rStyle w:val="FootnoteReference"/>
        </w:rPr>
        <w:footnoteReference w:id="2"/>
      </w:r>
      <w:r>
        <w:t xml:space="preserve"> </w:t>
      </w:r>
    </w:p>
    <w:p w:rsidR="00263159" w:rsidRDefault="00263159"/>
    <w:p w:rsidR="007F72E5" w:rsidRDefault="00263159">
      <w:r>
        <w:t xml:space="preserve">After gap-filling the missing state and county information, the average silt content for a county was calculated by summing the </w:t>
      </w:r>
      <w:r w:rsidR="006D1B73">
        <w:t xml:space="preserve">total </w:t>
      </w:r>
      <w:r>
        <w:t xml:space="preserve">silt content of all the samples in the county and dividing by the number of samples in the county. For counties without samples, the average silt content </w:t>
      </w:r>
      <w:r w:rsidR="006D1B73">
        <w:t>was calculated by summing the total silt content of soil samples in</w:t>
      </w:r>
      <w:r>
        <w:t xml:space="preserve"> neighboring counties </w:t>
      </w:r>
      <w:r w:rsidR="006D1B73">
        <w:t>and dividing by the number of samples in the neighboring counties</w:t>
      </w:r>
      <w:r>
        <w:t xml:space="preserve">. If neighboring counties also lacked sample data, then the county was assigned the average silt value </w:t>
      </w:r>
      <w:r w:rsidR="006D1B73">
        <w:t>of soil samples within</w:t>
      </w:r>
      <w:r>
        <w:t xml:space="preserve"> the state.</w:t>
      </w:r>
      <w:r w:rsidR="007F72E5">
        <w:t xml:space="preserve"> </w:t>
      </w:r>
    </w:p>
    <w:p w:rsidR="007F72E5" w:rsidRDefault="007F72E5"/>
    <w:p w:rsidR="007F72E5" w:rsidRDefault="007F72E5">
      <w:r>
        <w:t>The final Excel workbook contains the soil sample information for all samples used to generate the county averages as well as the final county-level average silt values for surface soils. The county-level table lists the number of samples used to calculate the average as well as the derivation code and description from Table 1 below.</w:t>
      </w:r>
    </w:p>
    <w:p w:rsidR="007F72E5" w:rsidRDefault="007F72E5"/>
    <w:p w:rsidR="007F72E5" w:rsidRPr="007F72E5" w:rsidRDefault="007F72E5" w:rsidP="007F72E5">
      <w:pPr>
        <w:jc w:val="center"/>
        <w:rPr>
          <w:b/>
          <w:sz w:val="20"/>
        </w:rPr>
      </w:pPr>
      <w:proofErr w:type="gramStart"/>
      <w:r w:rsidRPr="007F72E5">
        <w:rPr>
          <w:b/>
          <w:sz w:val="20"/>
        </w:rPr>
        <w:t>Table 1.</w:t>
      </w:r>
      <w:proofErr w:type="gramEnd"/>
      <w:r w:rsidRPr="007F72E5">
        <w:rPr>
          <w:b/>
          <w:sz w:val="20"/>
        </w:rPr>
        <w:t xml:space="preserve"> Derivation Codes and Descriptions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90"/>
        <w:gridCol w:w="4271"/>
      </w:tblGrid>
      <w:tr w:rsidR="007F72E5" w:rsidRPr="007F72E5" w:rsidTr="007F72E5">
        <w:trPr>
          <w:tblHeader/>
          <w:tblCellSpacing w:w="0" w:type="dxa"/>
          <w:jc w:val="center"/>
        </w:trPr>
        <w:tc>
          <w:tcPr>
            <w:tcW w:w="0" w:type="auto"/>
            <w:tcBorders>
              <w:top w:val="single" w:sz="4" w:space="0" w:color="auto"/>
              <w:left w:val="single" w:sz="4" w:space="0" w:color="auto"/>
              <w:bottom w:val="single" w:sz="4" w:space="0" w:color="auto"/>
              <w:right w:val="outset" w:sz="6" w:space="0" w:color="000000"/>
            </w:tcBorders>
            <w:shd w:val="clear" w:color="auto" w:fill="DBE5F1" w:themeFill="accent1" w:themeFillTint="33"/>
            <w:vAlign w:val="center"/>
            <w:hideMark/>
          </w:tcPr>
          <w:p w:rsidR="007F72E5" w:rsidRPr="007F72E5" w:rsidRDefault="007F72E5" w:rsidP="007F72E5">
            <w:pPr>
              <w:spacing w:line="240" w:lineRule="auto"/>
              <w:jc w:val="center"/>
              <w:rPr>
                <w:b/>
                <w:bCs/>
                <w:sz w:val="24"/>
                <w:szCs w:val="24"/>
              </w:rPr>
            </w:pPr>
            <w:proofErr w:type="spellStart"/>
            <w:r w:rsidRPr="007F72E5">
              <w:rPr>
                <w:rFonts w:ascii="Calibri" w:hAnsi="Calibri"/>
                <w:b/>
                <w:bCs/>
                <w:color w:val="000000"/>
                <w:szCs w:val="22"/>
              </w:rPr>
              <w:t>Derivation_Code</w:t>
            </w:r>
            <w:proofErr w:type="spellEnd"/>
          </w:p>
        </w:tc>
        <w:tc>
          <w:tcPr>
            <w:tcW w:w="0" w:type="auto"/>
            <w:tcBorders>
              <w:top w:val="single" w:sz="4" w:space="0" w:color="auto"/>
              <w:left w:val="outset" w:sz="6" w:space="0" w:color="000000"/>
              <w:bottom w:val="single" w:sz="4" w:space="0" w:color="auto"/>
              <w:right w:val="single" w:sz="4" w:space="0" w:color="auto"/>
            </w:tcBorders>
            <w:shd w:val="clear" w:color="auto" w:fill="DBE5F1" w:themeFill="accent1" w:themeFillTint="33"/>
            <w:vAlign w:val="center"/>
            <w:hideMark/>
          </w:tcPr>
          <w:p w:rsidR="007F72E5" w:rsidRPr="007F72E5" w:rsidRDefault="007F72E5" w:rsidP="007F72E5">
            <w:pPr>
              <w:spacing w:line="240" w:lineRule="auto"/>
              <w:jc w:val="center"/>
              <w:rPr>
                <w:b/>
                <w:bCs/>
                <w:sz w:val="24"/>
                <w:szCs w:val="24"/>
              </w:rPr>
            </w:pPr>
            <w:r w:rsidRPr="007F72E5">
              <w:rPr>
                <w:rFonts w:ascii="Calibri" w:hAnsi="Calibri"/>
                <w:b/>
                <w:bCs/>
                <w:color w:val="000000"/>
                <w:szCs w:val="22"/>
              </w:rPr>
              <w:t>Derivation_Code_Description</w:t>
            </w:r>
          </w:p>
        </w:tc>
      </w:tr>
      <w:tr w:rsidR="007F72E5" w:rsidRPr="007F72E5" w:rsidTr="007F72E5">
        <w:trPr>
          <w:tblCellSpacing w:w="0" w:type="dxa"/>
          <w:jc w:val="center"/>
        </w:trPr>
        <w:tc>
          <w:tcPr>
            <w:tcW w:w="0" w:type="auto"/>
            <w:tcBorders>
              <w:top w:val="single" w:sz="4" w:space="0" w:color="auto"/>
              <w:left w:val="single" w:sz="4" w:space="0" w:color="auto"/>
              <w:bottom w:val="single" w:sz="4" w:space="0" w:color="auto"/>
              <w:right w:val="outset" w:sz="6" w:space="0" w:color="D0D7E5"/>
            </w:tcBorders>
            <w:shd w:val="clear" w:color="auto" w:fill="auto"/>
            <w:vAlign w:val="center"/>
            <w:hideMark/>
          </w:tcPr>
          <w:p w:rsidR="007F72E5" w:rsidRPr="007F72E5" w:rsidRDefault="007F72E5" w:rsidP="007F72E5">
            <w:pPr>
              <w:spacing w:line="240" w:lineRule="auto"/>
              <w:jc w:val="center"/>
              <w:rPr>
                <w:sz w:val="24"/>
                <w:szCs w:val="24"/>
              </w:rPr>
            </w:pPr>
            <w:r w:rsidRPr="007F72E5">
              <w:rPr>
                <w:rFonts w:ascii="Calibri" w:hAnsi="Calibri"/>
                <w:color w:val="000000"/>
                <w:szCs w:val="22"/>
              </w:rPr>
              <w:t>0</w:t>
            </w:r>
          </w:p>
        </w:tc>
        <w:tc>
          <w:tcPr>
            <w:tcW w:w="0" w:type="auto"/>
            <w:tcBorders>
              <w:top w:val="single" w:sz="4" w:space="0" w:color="auto"/>
              <w:left w:val="outset" w:sz="6" w:space="0" w:color="D0D7E5"/>
              <w:bottom w:val="single" w:sz="4" w:space="0" w:color="auto"/>
              <w:right w:val="single" w:sz="4" w:space="0" w:color="auto"/>
            </w:tcBorders>
            <w:shd w:val="clear" w:color="auto" w:fill="auto"/>
            <w:vAlign w:val="center"/>
            <w:hideMark/>
          </w:tcPr>
          <w:p w:rsidR="007F72E5" w:rsidRPr="007F72E5" w:rsidRDefault="007F72E5" w:rsidP="007F72E5">
            <w:pPr>
              <w:spacing w:line="240" w:lineRule="auto"/>
              <w:rPr>
                <w:sz w:val="24"/>
                <w:szCs w:val="24"/>
              </w:rPr>
            </w:pPr>
            <w:r w:rsidRPr="007F72E5">
              <w:rPr>
                <w:rFonts w:ascii="Calibri" w:hAnsi="Calibri"/>
                <w:color w:val="000000"/>
                <w:szCs w:val="22"/>
              </w:rPr>
              <w:t>Average of samples within county.</w:t>
            </w:r>
          </w:p>
        </w:tc>
      </w:tr>
      <w:tr w:rsidR="007F72E5" w:rsidRPr="007F72E5" w:rsidTr="007F72E5">
        <w:trPr>
          <w:tblCellSpacing w:w="0" w:type="dxa"/>
          <w:jc w:val="center"/>
        </w:trPr>
        <w:tc>
          <w:tcPr>
            <w:tcW w:w="0" w:type="auto"/>
            <w:tcBorders>
              <w:top w:val="single" w:sz="4" w:space="0" w:color="auto"/>
              <w:left w:val="single" w:sz="4" w:space="0" w:color="auto"/>
              <w:bottom w:val="single" w:sz="4" w:space="0" w:color="auto"/>
              <w:right w:val="outset" w:sz="6" w:space="0" w:color="D0D7E5"/>
            </w:tcBorders>
            <w:shd w:val="clear" w:color="auto" w:fill="auto"/>
            <w:vAlign w:val="center"/>
            <w:hideMark/>
          </w:tcPr>
          <w:p w:rsidR="007F72E5" w:rsidRPr="007F72E5" w:rsidRDefault="007F72E5" w:rsidP="007F72E5">
            <w:pPr>
              <w:spacing w:line="240" w:lineRule="auto"/>
              <w:jc w:val="center"/>
              <w:rPr>
                <w:sz w:val="24"/>
                <w:szCs w:val="24"/>
              </w:rPr>
            </w:pPr>
            <w:r w:rsidRPr="007F72E5">
              <w:rPr>
                <w:rFonts w:ascii="Calibri" w:hAnsi="Calibri"/>
                <w:color w:val="000000"/>
                <w:szCs w:val="22"/>
              </w:rPr>
              <w:t>1</w:t>
            </w:r>
          </w:p>
        </w:tc>
        <w:tc>
          <w:tcPr>
            <w:tcW w:w="0" w:type="auto"/>
            <w:tcBorders>
              <w:top w:val="single" w:sz="4" w:space="0" w:color="auto"/>
              <w:left w:val="outset" w:sz="6" w:space="0" w:color="D0D7E5"/>
              <w:bottom w:val="single" w:sz="4" w:space="0" w:color="auto"/>
              <w:right w:val="single" w:sz="4" w:space="0" w:color="auto"/>
            </w:tcBorders>
            <w:shd w:val="clear" w:color="auto" w:fill="auto"/>
            <w:vAlign w:val="center"/>
            <w:hideMark/>
          </w:tcPr>
          <w:p w:rsidR="007F72E5" w:rsidRPr="007F72E5" w:rsidRDefault="007F72E5" w:rsidP="007F72E5">
            <w:pPr>
              <w:spacing w:line="240" w:lineRule="auto"/>
              <w:rPr>
                <w:sz w:val="24"/>
                <w:szCs w:val="24"/>
              </w:rPr>
            </w:pPr>
            <w:r w:rsidRPr="007F72E5">
              <w:rPr>
                <w:rFonts w:ascii="Calibri" w:hAnsi="Calibri"/>
                <w:color w:val="000000"/>
                <w:szCs w:val="22"/>
              </w:rPr>
              <w:t>Average of samples from neighboring counties.</w:t>
            </w:r>
          </w:p>
        </w:tc>
      </w:tr>
      <w:tr w:rsidR="007F72E5" w:rsidRPr="007F72E5" w:rsidTr="007F72E5">
        <w:trPr>
          <w:tblCellSpacing w:w="0" w:type="dxa"/>
          <w:jc w:val="center"/>
        </w:trPr>
        <w:tc>
          <w:tcPr>
            <w:tcW w:w="0" w:type="auto"/>
            <w:tcBorders>
              <w:top w:val="single" w:sz="4" w:space="0" w:color="auto"/>
              <w:left w:val="single" w:sz="4" w:space="0" w:color="auto"/>
              <w:bottom w:val="single" w:sz="4" w:space="0" w:color="auto"/>
              <w:right w:val="outset" w:sz="6" w:space="0" w:color="D0D7E5"/>
            </w:tcBorders>
            <w:shd w:val="clear" w:color="auto" w:fill="auto"/>
            <w:vAlign w:val="center"/>
            <w:hideMark/>
          </w:tcPr>
          <w:p w:rsidR="007F72E5" w:rsidRPr="007F72E5" w:rsidRDefault="007F72E5" w:rsidP="007F72E5">
            <w:pPr>
              <w:spacing w:line="240" w:lineRule="auto"/>
              <w:jc w:val="center"/>
              <w:rPr>
                <w:sz w:val="24"/>
                <w:szCs w:val="24"/>
              </w:rPr>
            </w:pPr>
            <w:r w:rsidRPr="007F72E5">
              <w:rPr>
                <w:rFonts w:ascii="Calibri" w:hAnsi="Calibri"/>
                <w:color w:val="000000"/>
                <w:szCs w:val="22"/>
              </w:rPr>
              <w:t>2</w:t>
            </w:r>
          </w:p>
        </w:tc>
        <w:tc>
          <w:tcPr>
            <w:tcW w:w="0" w:type="auto"/>
            <w:tcBorders>
              <w:top w:val="single" w:sz="4" w:space="0" w:color="auto"/>
              <w:left w:val="outset" w:sz="6" w:space="0" w:color="D0D7E5"/>
              <w:bottom w:val="single" w:sz="4" w:space="0" w:color="auto"/>
              <w:right w:val="single" w:sz="4" w:space="0" w:color="auto"/>
            </w:tcBorders>
            <w:shd w:val="clear" w:color="auto" w:fill="auto"/>
            <w:vAlign w:val="center"/>
            <w:hideMark/>
          </w:tcPr>
          <w:p w:rsidR="007F72E5" w:rsidRPr="007F72E5" w:rsidRDefault="007F72E5" w:rsidP="007F72E5">
            <w:pPr>
              <w:spacing w:line="240" w:lineRule="auto"/>
              <w:rPr>
                <w:sz w:val="24"/>
                <w:szCs w:val="24"/>
              </w:rPr>
            </w:pPr>
            <w:r w:rsidRPr="007F72E5">
              <w:rPr>
                <w:rFonts w:ascii="Calibri" w:hAnsi="Calibri"/>
                <w:color w:val="000000"/>
                <w:szCs w:val="22"/>
              </w:rPr>
              <w:t>Average of samples from state.</w:t>
            </w:r>
          </w:p>
        </w:tc>
      </w:tr>
    </w:tbl>
    <w:p w:rsidR="00263159" w:rsidRDefault="00263159">
      <w:r>
        <w:t xml:space="preserve">  </w:t>
      </w:r>
    </w:p>
    <w:sectPr w:rsidR="00263159" w:rsidSect="007F72E5">
      <w:headerReference w:type="default" r:id="rId10"/>
      <w:footerReference w:type="default" r:id="rId11"/>
      <w:headerReference w:type="first" r:id="rId12"/>
      <w:footerReference w:type="first" r:id="rId13"/>
      <w:pgSz w:w="12240" w:h="15840" w:code="1"/>
      <w:pgMar w:top="1440" w:right="1440" w:bottom="576" w:left="2160" w:header="720" w:footer="3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B22" w:rsidRDefault="00861B22">
      <w:r>
        <w:separator/>
      </w:r>
    </w:p>
  </w:endnote>
  <w:endnote w:type="continuationSeparator" w:id="0">
    <w:p w:rsidR="00861B22" w:rsidRDefault="0086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228" w:rsidRDefault="00294228">
    <w:pPr>
      <w:pStyle w:val="Footer"/>
      <w:jc w:val="center"/>
    </w:pPr>
    <w:r>
      <w:rPr>
        <w:rStyle w:val="PageNumber"/>
      </w:rPr>
      <w:fldChar w:fldCharType="begin"/>
    </w:r>
    <w:r>
      <w:rPr>
        <w:rStyle w:val="PageNumber"/>
      </w:rPr>
      <w:instrText xml:space="preserve"> PAGE </w:instrText>
    </w:r>
    <w:r>
      <w:rPr>
        <w:rStyle w:val="PageNumber"/>
      </w:rPr>
      <w:fldChar w:fldCharType="separate"/>
    </w:r>
    <w:r w:rsidR="00FA46E0">
      <w:rPr>
        <w:rStyle w:val="PageNumber"/>
        <w:noProof/>
      </w:rPr>
      <w:t>2</w:t>
    </w:r>
    <w:r>
      <w:rPr>
        <w:rStyle w:val="PageNumber"/>
      </w:rPr>
      <w:fldChar w:fldCharType="end"/>
    </w:r>
  </w:p>
  <w:p w:rsidR="00294228" w:rsidRDefault="002942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228" w:rsidRDefault="00294228">
    <w:pPr>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B22" w:rsidRDefault="00861B22">
      <w:r>
        <w:separator/>
      </w:r>
    </w:p>
  </w:footnote>
  <w:footnote w:type="continuationSeparator" w:id="0">
    <w:p w:rsidR="00861B22" w:rsidRDefault="00861B22">
      <w:r>
        <w:continuationSeparator/>
      </w:r>
    </w:p>
  </w:footnote>
  <w:footnote w:id="1">
    <w:p w:rsidR="00861B22" w:rsidRDefault="00861B22">
      <w:pPr>
        <w:pStyle w:val="FootnoteText"/>
      </w:pPr>
      <w:r>
        <w:rPr>
          <w:rStyle w:val="FootnoteReference"/>
        </w:rPr>
        <w:footnoteRef/>
      </w:r>
      <w:r>
        <w:t xml:space="preserve"> </w:t>
      </w:r>
      <w:r w:rsidRPr="00861B22">
        <w:t>U.S. Department of Agriculture, National Cooperative Soil Survey, NCSS Microsoft Access Soil Characterization Database, http://ncsslabdatamart.sc.egov.usda.gov</w:t>
      </w:r>
      <w:proofErr w:type="gramStart"/>
      <w:r w:rsidRPr="00861B22">
        <w:t>/ ,</w:t>
      </w:r>
      <w:proofErr w:type="gramEnd"/>
      <w:r w:rsidRPr="00861B22">
        <w:t xml:space="preserve"> accessed September 2015.</w:t>
      </w:r>
    </w:p>
  </w:footnote>
  <w:footnote w:id="2">
    <w:p w:rsidR="00B04E44" w:rsidRDefault="00B04E44">
      <w:pPr>
        <w:pStyle w:val="FootnoteText"/>
      </w:pPr>
      <w:r>
        <w:rPr>
          <w:rStyle w:val="FootnoteReference"/>
        </w:rPr>
        <w:footnoteRef/>
      </w:r>
      <w:r>
        <w:t xml:space="preserve"> Batch Conversions of Latitude/Longitude to Address (Reverse Geocoding), Stephen P. Morse, </w:t>
      </w:r>
      <w:hyperlink r:id="rId1" w:history="1">
        <w:r w:rsidRPr="00886C20">
          <w:rPr>
            <w:rStyle w:val="Hyperlink"/>
          </w:rPr>
          <w:t>http://www.stevemorse.org/jcal/latlonbatch.html?direction=reverse</w:t>
        </w:r>
      </w:hyperlink>
      <w:r>
        <w:t xml:space="preserve"> (accessed September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228" w:rsidRDefault="00294228"/>
  <w:p w:rsidR="00294228" w:rsidRDefault="002942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FDC" w:rsidRDefault="007B2FDC">
    <w:pPr>
      <w:pStyle w:val="Header"/>
    </w:pPr>
    <w:r>
      <w:rPr>
        <w:noProof/>
      </w:rPr>
      <w:drawing>
        <wp:anchor distT="0" distB="0" distL="114300" distR="114300" simplePos="0" relativeHeight="251659264" behindDoc="1" locked="0" layoutInCell="1" allowOverlap="1" wp14:anchorId="599821BF" wp14:editId="3C538D4E">
          <wp:simplePos x="0" y="0"/>
          <wp:positionH relativeFrom="page">
            <wp:posOffset>6035040</wp:posOffset>
          </wp:positionH>
          <wp:positionV relativeFrom="page">
            <wp:posOffset>344170</wp:posOffset>
          </wp:positionV>
          <wp:extent cx="1105535" cy="1097280"/>
          <wp:effectExtent l="0" t="0" r="0" b="7620"/>
          <wp:wrapTight wrapText="bothSides">
            <wp:wrapPolygon edited="0">
              <wp:start x="9305" y="0"/>
              <wp:lineTo x="6700" y="0"/>
              <wp:lineTo x="372" y="4500"/>
              <wp:lineTo x="0" y="7125"/>
              <wp:lineTo x="0" y="14250"/>
              <wp:lineTo x="1489" y="18000"/>
              <wp:lineTo x="2233" y="19125"/>
              <wp:lineTo x="7072" y="21375"/>
              <wp:lineTo x="9305" y="21375"/>
              <wp:lineTo x="11910" y="21375"/>
              <wp:lineTo x="14144" y="21375"/>
              <wp:lineTo x="19354" y="19125"/>
              <wp:lineTo x="21215" y="13875"/>
              <wp:lineTo x="21215" y="7125"/>
              <wp:lineTo x="20843" y="4500"/>
              <wp:lineTo x="14516" y="0"/>
              <wp:lineTo x="11910" y="0"/>
              <wp:lineTo x="9305"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1097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F7E"/>
    <w:multiLevelType w:val="singleLevel"/>
    <w:tmpl w:val="8A2067C4"/>
    <w:lvl w:ilvl="0">
      <w:start w:val="1"/>
      <w:numFmt w:val="bullet"/>
      <w:pStyle w:val="Bullets"/>
      <w:lvlText w:val=""/>
      <w:lvlJc w:val="left"/>
      <w:pPr>
        <w:tabs>
          <w:tab w:val="num" w:pos="1080"/>
        </w:tabs>
        <w:ind w:left="1080" w:hanging="360"/>
      </w:pPr>
      <w:rPr>
        <w:rFonts w:ascii="Symbol" w:hAnsi="Symbol" w:hint="default"/>
      </w:rPr>
    </w:lvl>
  </w:abstractNum>
  <w:abstractNum w:abstractNumId="1">
    <w:nsid w:val="2D154147"/>
    <w:multiLevelType w:val="singleLevel"/>
    <w:tmpl w:val="5294725A"/>
    <w:lvl w:ilvl="0">
      <w:start w:val="1"/>
      <w:numFmt w:val="decimal"/>
      <w:pStyle w:val="Numbers"/>
      <w:lvlText w:val="%1."/>
      <w:lvlJc w:val="left"/>
      <w:pPr>
        <w:tabs>
          <w:tab w:val="num" w:pos="1080"/>
        </w:tabs>
        <w:ind w:left="1080" w:hanging="360"/>
      </w:pPr>
    </w:lvl>
  </w:abstractNum>
  <w:abstractNum w:abstractNumId="2">
    <w:nsid w:val="357456EA"/>
    <w:multiLevelType w:val="singleLevel"/>
    <w:tmpl w:val="BE94DE2A"/>
    <w:lvl w:ilvl="0">
      <w:start w:val="1"/>
      <w:numFmt w:val="decimal"/>
      <w:pStyle w:val="RefNumbers"/>
      <w:lvlText w:val="%1."/>
      <w:lvlJc w:val="left"/>
      <w:pPr>
        <w:tabs>
          <w:tab w:val="num" w:pos="720"/>
        </w:tabs>
        <w:ind w:left="720" w:hanging="720"/>
      </w:pPr>
    </w:lvl>
  </w:abstractNum>
  <w:abstractNum w:abstractNumId="3">
    <w:nsid w:val="4A0E370F"/>
    <w:multiLevelType w:val="singleLevel"/>
    <w:tmpl w:val="DFE01D44"/>
    <w:lvl w:ilvl="0">
      <w:start w:val="1"/>
      <w:numFmt w:val="decimal"/>
      <w:lvlText w:val="%1."/>
      <w:lvlJc w:val="left"/>
      <w:pPr>
        <w:tabs>
          <w:tab w:val="num" w:pos="1080"/>
        </w:tabs>
        <w:ind w:left="1080" w:hanging="360"/>
      </w:pPr>
    </w:lvl>
  </w:abstractNum>
  <w:abstractNum w:abstractNumId="4">
    <w:nsid w:val="74E00A67"/>
    <w:multiLevelType w:val="singleLevel"/>
    <w:tmpl w:val="D32837A4"/>
    <w:lvl w:ilvl="0">
      <w:start w:val="1"/>
      <w:numFmt w:val="bullet"/>
      <w:lvlText w:val=""/>
      <w:lvlJc w:val="left"/>
      <w:pPr>
        <w:tabs>
          <w:tab w:val="num" w:pos="1080"/>
        </w:tabs>
        <w:ind w:left="1080" w:hanging="360"/>
      </w:pPr>
      <w:rPr>
        <w:rFonts w:ascii="Symbol" w:hAnsi="Symbol" w:hint="default"/>
      </w:rPr>
    </w:lvl>
  </w:abstractNum>
  <w:num w:numId="1">
    <w:abstractNumId w:val="2"/>
  </w:num>
  <w:num w:numId="2">
    <w:abstractNumId w:val="4"/>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B22"/>
    <w:rsid w:val="00165891"/>
    <w:rsid w:val="00184A4A"/>
    <w:rsid w:val="00236547"/>
    <w:rsid w:val="00263159"/>
    <w:rsid w:val="00294228"/>
    <w:rsid w:val="00515C86"/>
    <w:rsid w:val="00671910"/>
    <w:rsid w:val="00687AF5"/>
    <w:rsid w:val="006D1B73"/>
    <w:rsid w:val="006D3FF2"/>
    <w:rsid w:val="0070033D"/>
    <w:rsid w:val="007B2FDC"/>
    <w:rsid w:val="007F72E5"/>
    <w:rsid w:val="00853943"/>
    <w:rsid w:val="00861B22"/>
    <w:rsid w:val="008C2552"/>
    <w:rsid w:val="00B04E44"/>
    <w:rsid w:val="00B22B1B"/>
    <w:rsid w:val="00C25E78"/>
    <w:rsid w:val="00D15A0D"/>
    <w:rsid w:val="00F24925"/>
    <w:rsid w:val="00FA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4" w:lineRule="auto"/>
    </w:pPr>
    <w:rPr>
      <w:sz w:val="22"/>
    </w:rPr>
  </w:style>
  <w:style w:type="paragraph" w:styleId="Heading1">
    <w:name w:val="heading 1"/>
    <w:basedOn w:val="Normal"/>
    <w:qFormat/>
    <w:pPr>
      <w:keepNext/>
      <w:keepLines/>
      <w:framePr w:hSpace="187" w:vSpace="187" w:wrap="notBeside" w:vAnchor="text" w:hAnchor="text" w:y="1"/>
      <w:spacing w:before="240" w:after="200"/>
      <w:outlineLvl w:val="0"/>
    </w:pPr>
    <w:rPr>
      <w:rFonts w:ascii="Arial" w:hAnsi="Arial"/>
      <w:b/>
      <w:kern w:val="28"/>
      <w:sz w:val="36"/>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qFormat/>
    <w:pPr>
      <w:keepNext/>
      <w:outlineLvl w:val="3"/>
    </w:pPr>
    <w:rPr>
      <w:b/>
      <w:i/>
    </w:rPr>
  </w:style>
  <w:style w:type="paragraph" w:styleId="Heading5">
    <w:name w:val="heading 5"/>
    <w:basedOn w:val="Normal"/>
    <w:qFormat/>
    <w:pPr>
      <w:keepNext/>
      <w:outlineLvl w:val="4"/>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spacing w:line="192" w:lineRule="auto"/>
    </w:pPr>
    <w:rPr>
      <w:rFonts w:ascii="Arial" w:hAnsi="Arial"/>
      <w:b/>
      <w:sz w:val="18"/>
    </w:rPr>
  </w:style>
  <w:style w:type="paragraph" w:customStyle="1" w:styleId="AbtHeadA">
    <w:name w:val="AbtHead A"/>
    <w:basedOn w:val="Normal"/>
    <w:next w:val="BodyText"/>
    <w:pPr>
      <w:keepNext/>
      <w:keepLines/>
      <w:tabs>
        <w:tab w:val="left" w:pos="360"/>
        <w:tab w:val="left" w:pos="720"/>
        <w:tab w:val="left" w:pos="1440"/>
      </w:tabs>
      <w:spacing w:after="360"/>
      <w:outlineLvl w:val="0"/>
    </w:pPr>
    <w:rPr>
      <w:rFonts w:ascii="Arial" w:hAnsi="Arial"/>
      <w:b/>
      <w:sz w:val="36"/>
    </w:rPr>
  </w:style>
  <w:style w:type="paragraph" w:styleId="Header">
    <w:name w:val="header"/>
    <w:basedOn w:val="Normal"/>
    <w:link w:val="HeaderChar"/>
    <w:rsid w:val="007B2FDC"/>
    <w:pPr>
      <w:tabs>
        <w:tab w:val="center" w:pos="4680"/>
        <w:tab w:val="right" w:pos="9360"/>
      </w:tabs>
    </w:pPr>
  </w:style>
  <w:style w:type="character" w:styleId="PageNumber">
    <w:name w:val="page number"/>
    <w:basedOn w:val="DefaultParagraphFont"/>
    <w:rPr>
      <w:rFonts w:ascii="Arial" w:hAnsi="Arial"/>
      <w:dstrike w:val="0"/>
      <w:color w:val="auto"/>
      <w:sz w:val="20"/>
      <w:vertAlign w:val="baseline"/>
    </w:rPr>
  </w:style>
  <w:style w:type="paragraph" w:customStyle="1" w:styleId="AbtHeadB">
    <w:name w:val="AbtHead B"/>
    <w:basedOn w:val="Normal"/>
    <w:next w:val="BodyText"/>
    <w:pPr>
      <w:keepNext/>
      <w:keepLines/>
      <w:tabs>
        <w:tab w:val="left" w:pos="360"/>
        <w:tab w:val="left" w:pos="720"/>
        <w:tab w:val="left" w:pos="1440"/>
      </w:tabs>
      <w:spacing w:after="280"/>
      <w:outlineLvl w:val="1"/>
    </w:pPr>
    <w:rPr>
      <w:rFonts w:ascii="Arial" w:hAnsi="Arial"/>
      <w:b/>
      <w:sz w:val="28"/>
    </w:rPr>
  </w:style>
  <w:style w:type="paragraph" w:customStyle="1" w:styleId="AbtHeadC">
    <w:name w:val="AbtHead C"/>
    <w:basedOn w:val="Normal"/>
    <w:next w:val="BodyText"/>
    <w:pPr>
      <w:keepNext/>
      <w:keepLines/>
      <w:tabs>
        <w:tab w:val="left" w:pos="360"/>
        <w:tab w:val="left" w:pos="720"/>
        <w:tab w:val="left" w:pos="1440"/>
      </w:tabs>
      <w:spacing w:after="240"/>
      <w:outlineLvl w:val="2"/>
    </w:pPr>
    <w:rPr>
      <w:rFonts w:ascii="Arial" w:hAnsi="Arial"/>
      <w:b/>
      <w:sz w:val="20"/>
    </w:rPr>
  </w:style>
  <w:style w:type="paragraph" w:customStyle="1" w:styleId="RefNumbers">
    <w:name w:val="Ref Numbers"/>
    <w:basedOn w:val="BodyText"/>
    <w:pPr>
      <w:numPr>
        <w:numId w:val="1"/>
      </w:numPr>
      <w:spacing w:after="240"/>
    </w:pPr>
  </w:style>
  <w:style w:type="character" w:customStyle="1" w:styleId="HeaderChar">
    <w:name w:val="Header Char"/>
    <w:basedOn w:val="DefaultParagraphFont"/>
    <w:link w:val="Header"/>
    <w:rsid w:val="007B2FDC"/>
    <w:rPr>
      <w:sz w:val="22"/>
    </w:rPr>
  </w:style>
  <w:style w:type="paragraph" w:customStyle="1" w:styleId="AbtHeadD">
    <w:name w:val="AbtHead D"/>
    <w:basedOn w:val="Normal"/>
    <w:next w:val="BodyText"/>
    <w:pPr>
      <w:keepNext/>
      <w:keepLines/>
      <w:tabs>
        <w:tab w:val="left" w:pos="360"/>
        <w:tab w:val="left" w:pos="720"/>
        <w:tab w:val="left" w:pos="1440"/>
      </w:tabs>
      <w:outlineLvl w:val="3"/>
    </w:pPr>
    <w:rPr>
      <w:b/>
      <w:i/>
    </w:rPr>
  </w:style>
  <w:style w:type="paragraph" w:customStyle="1" w:styleId="Table">
    <w:name w:val="Table"/>
    <w:basedOn w:val="Normal"/>
    <w:pPr>
      <w:tabs>
        <w:tab w:val="left" w:pos="360"/>
        <w:tab w:val="left" w:pos="720"/>
        <w:tab w:val="left" w:pos="1440"/>
      </w:tabs>
    </w:pPr>
    <w:rPr>
      <w:rFonts w:ascii="Arial" w:hAnsi="Arial"/>
      <w:sz w:val="20"/>
    </w:rPr>
  </w:style>
  <w:style w:type="character" w:styleId="PlaceholderText">
    <w:name w:val="Placeholder Text"/>
    <w:basedOn w:val="DefaultParagraphFont"/>
    <w:uiPriority w:val="99"/>
    <w:semiHidden/>
    <w:rsid w:val="00C25E78"/>
    <w:rPr>
      <w:color w:val="808080"/>
    </w:rPr>
  </w:style>
  <w:style w:type="character" w:styleId="CommentReference">
    <w:name w:val="annotation reference"/>
    <w:basedOn w:val="DefaultParagraphFont"/>
    <w:semiHidden/>
    <w:rPr>
      <w:sz w:val="16"/>
    </w:rPr>
  </w:style>
  <w:style w:type="paragraph" w:styleId="BodyText">
    <w:name w:val="Body Text"/>
    <w:basedOn w:val="Normal"/>
    <w:pPr>
      <w:tabs>
        <w:tab w:val="left" w:pos="720"/>
        <w:tab w:val="left" w:pos="1080"/>
        <w:tab w:val="left" w:pos="1440"/>
        <w:tab w:val="left" w:pos="1800"/>
      </w:tabs>
    </w:pPr>
  </w:style>
  <w:style w:type="paragraph" w:customStyle="1" w:styleId="Numbers">
    <w:name w:val="Numbers"/>
    <w:basedOn w:val="BodyText"/>
    <w:pPr>
      <w:numPr>
        <w:numId w:val="5"/>
      </w:numPr>
    </w:pPr>
  </w:style>
  <w:style w:type="paragraph" w:customStyle="1" w:styleId="Bullets">
    <w:name w:val="Bullets"/>
    <w:basedOn w:val="BodyText"/>
    <w:pPr>
      <w:numPr>
        <w:numId w:val="6"/>
      </w:numPr>
    </w:pPr>
  </w:style>
  <w:style w:type="paragraph" w:styleId="BalloonText">
    <w:name w:val="Balloon Text"/>
    <w:basedOn w:val="Normal"/>
    <w:link w:val="BalloonTextChar"/>
    <w:rsid w:val="00C25E7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25E78"/>
    <w:rPr>
      <w:rFonts w:ascii="Tahoma" w:hAnsi="Tahoma" w:cs="Tahoma"/>
      <w:sz w:val="16"/>
      <w:szCs w:val="16"/>
    </w:rPr>
  </w:style>
  <w:style w:type="paragraph" w:styleId="FootnoteText">
    <w:name w:val="footnote text"/>
    <w:basedOn w:val="Normal"/>
    <w:link w:val="FootnoteTextChar"/>
    <w:rsid w:val="00861B22"/>
    <w:pPr>
      <w:spacing w:line="240" w:lineRule="auto"/>
    </w:pPr>
    <w:rPr>
      <w:sz w:val="20"/>
    </w:rPr>
  </w:style>
  <w:style w:type="character" w:customStyle="1" w:styleId="FootnoteTextChar">
    <w:name w:val="Footnote Text Char"/>
    <w:basedOn w:val="DefaultParagraphFont"/>
    <w:link w:val="FootnoteText"/>
    <w:rsid w:val="00861B22"/>
  </w:style>
  <w:style w:type="character" w:styleId="FootnoteReference">
    <w:name w:val="footnote reference"/>
    <w:basedOn w:val="DefaultParagraphFont"/>
    <w:rsid w:val="00861B22"/>
    <w:rPr>
      <w:vertAlign w:val="superscript"/>
    </w:rPr>
  </w:style>
  <w:style w:type="character" w:styleId="Hyperlink">
    <w:name w:val="Hyperlink"/>
    <w:basedOn w:val="DefaultParagraphFont"/>
    <w:rsid w:val="00B04E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4" w:lineRule="auto"/>
    </w:pPr>
    <w:rPr>
      <w:sz w:val="22"/>
    </w:rPr>
  </w:style>
  <w:style w:type="paragraph" w:styleId="Heading1">
    <w:name w:val="heading 1"/>
    <w:basedOn w:val="Normal"/>
    <w:qFormat/>
    <w:pPr>
      <w:keepNext/>
      <w:keepLines/>
      <w:framePr w:hSpace="187" w:vSpace="187" w:wrap="notBeside" w:vAnchor="text" w:hAnchor="text" w:y="1"/>
      <w:spacing w:before="240" w:after="200"/>
      <w:outlineLvl w:val="0"/>
    </w:pPr>
    <w:rPr>
      <w:rFonts w:ascii="Arial" w:hAnsi="Arial"/>
      <w:b/>
      <w:kern w:val="28"/>
      <w:sz w:val="36"/>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qFormat/>
    <w:pPr>
      <w:keepNext/>
      <w:outlineLvl w:val="3"/>
    </w:pPr>
    <w:rPr>
      <w:b/>
      <w:i/>
    </w:rPr>
  </w:style>
  <w:style w:type="paragraph" w:styleId="Heading5">
    <w:name w:val="heading 5"/>
    <w:basedOn w:val="Normal"/>
    <w:qFormat/>
    <w:pPr>
      <w:keepNext/>
      <w:outlineLvl w:val="4"/>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spacing w:line="192" w:lineRule="auto"/>
    </w:pPr>
    <w:rPr>
      <w:rFonts w:ascii="Arial" w:hAnsi="Arial"/>
      <w:b/>
      <w:sz w:val="18"/>
    </w:rPr>
  </w:style>
  <w:style w:type="paragraph" w:customStyle="1" w:styleId="AbtHeadA">
    <w:name w:val="AbtHead A"/>
    <w:basedOn w:val="Normal"/>
    <w:next w:val="BodyText"/>
    <w:pPr>
      <w:keepNext/>
      <w:keepLines/>
      <w:tabs>
        <w:tab w:val="left" w:pos="360"/>
        <w:tab w:val="left" w:pos="720"/>
        <w:tab w:val="left" w:pos="1440"/>
      </w:tabs>
      <w:spacing w:after="360"/>
      <w:outlineLvl w:val="0"/>
    </w:pPr>
    <w:rPr>
      <w:rFonts w:ascii="Arial" w:hAnsi="Arial"/>
      <w:b/>
      <w:sz w:val="36"/>
    </w:rPr>
  </w:style>
  <w:style w:type="paragraph" w:styleId="Header">
    <w:name w:val="header"/>
    <w:basedOn w:val="Normal"/>
    <w:link w:val="HeaderChar"/>
    <w:rsid w:val="007B2FDC"/>
    <w:pPr>
      <w:tabs>
        <w:tab w:val="center" w:pos="4680"/>
        <w:tab w:val="right" w:pos="9360"/>
      </w:tabs>
    </w:pPr>
  </w:style>
  <w:style w:type="character" w:styleId="PageNumber">
    <w:name w:val="page number"/>
    <w:basedOn w:val="DefaultParagraphFont"/>
    <w:rPr>
      <w:rFonts w:ascii="Arial" w:hAnsi="Arial"/>
      <w:dstrike w:val="0"/>
      <w:color w:val="auto"/>
      <w:sz w:val="20"/>
      <w:vertAlign w:val="baseline"/>
    </w:rPr>
  </w:style>
  <w:style w:type="paragraph" w:customStyle="1" w:styleId="AbtHeadB">
    <w:name w:val="AbtHead B"/>
    <w:basedOn w:val="Normal"/>
    <w:next w:val="BodyText"/>
    <w:pPr>
      <w:keepNext/>
      <w:keepLines/>
      <w:tabs>
        <w:tab w:val="left" w:pos="360"/>
        <w:tab w:val="left" w:pos="720"/>
        <w:tab w:val="left" w:pos="1440"/>
      </w:tabs>
      <w:spacing w:after="280"/>
      <w:outlineLvl w:val="1"/>
    </w:pPr>
    <w:rPr>
      <w:rFonts w:ascii="Arial" w:hAnsi="Arial"/>
      <w:b/>
      <w:sz w:val="28"/>
    </w:rPr>
  </w:style>
  <w:style w:type="paragraph" w:customStyle="1" w:styleId="AbtHeadC">
    <w:name w:val="AbtHead C"/>
    <w:basedOn w:val="Normal"/>
    <w:next w:val="BodyText"/>
    <w:pPr>
      <w:keepNext/>
      <w:keepLines/>
      <w:tabs>
        <w:tab w:val="left" w:pos="360"/>
        <w:tab w:val="left" w:pos="720"/>
        <w:tab w:val="left" w:pos="1440"/>
      </w:tabs>
      <w:spacing w:after="240"/>
      <w:outlineLvl w:val="2"/>
    </w:pPr>
    <w:rPr>
      <w:rFonts w:ascii="Arial" w:hAnsi="Arial"/>
      <w:b/>
      <w:sz w:val="20"/>
    </w:rPr>
  </w:style>
  <w:style w:type="paragraph" w:customStyle="1" w:styleId="RefNumbers">
    <w:name w:val="Ref Numbers"/>
    <w:basedOn w:val="BodyText"/>
    <w:pPr>
      <w:numPr>
        <w:numId w:val="1"/>
      </w:numPr>
      <w:spacing w:after="240"/>
    </w:pPr>
  </w:style>
  <w:style w:type="character" w:customStyle="1" w:styleId="HeaderChar">
    <w:name w:val="Header Char"/>
    <w:basedOn w:val="DefaultParagraphFont"/>
    <w:link w:val="Header"/>
    <w:rsid w:val="007B2FDC"/>
    <w:rPr>
      <w:sz w:val="22"/>
    </w:rPr>
  </w:style>
  <w:style w:type="paragraph" w:customStyle="1" w:styleId="AbtHeadD">
    <w:name w:val="AbtHead D"/>
    <w:basedOn w:val="Normal"/>
    <w:next w:val="BodyText"/>
    <w:pPr>
      <w:keepNext/>
      <w:keepLines/>
      <w:tabs>
        <w:tab w:val="left" w:pos="360"/>
        <w:tab w:val="left" w:pos="720"/>
        <w:tab w:val="left" w:pos="1440"/>
      </w:tabs>
      <w:outlineLvl w:val="3"/>
    </w:pPr>
    <w:rPr>
      <w:b/>
      <w:i/>
    </w:rPr>
  </w:style>
  <w:style w:type="paragraph" w:customStyle="1" w:styleId="Table">
    <w:name w:val="Table"/>
    <w:basedOn w:val="Normal"/>
    <w:pPr>
      <w:tabs>
        <w:tab w:val="left" w:pos="360"/>
        <w:tab w:val="left" w:pos="720"/>
        <w:tab w:val="left" w:pos="1440"/>
      </w:tabs>
    </w:pPr>
    <w:rPr>
      <w:rFonts w:ascii="Arial" w:hAnsi="Arial"/>
      <w:sz w:val="20"/>
    </w:rPr>
  </w:style>
  <w:style w:type="character" w:styleId="PlaceholderText">
    <w:name w:val="Placeholder Text"/>
    <w:basedOn w:val="DefaultParagraphFont"/>
    <w:uiPriority w:val="99"/>
    <w:semiHidden/>
    <w:rsid w:val="00C25E78"/>
    <w:rPr>
      <w:color w:val="808080"/>
    </w:rPr>
  </w:style>
  <w:style w:type="character" w:styleId="CommentReference">
    <w:name w:val="annotation reference"/>
    <w:basedOn w:val="DefaultParagraphFont"/>
    <w:semiHidden/>
    <w:rPr>
      <w:sz w:val="16"/>
    </w:rPr>
  </w:style>
  <w:style w:type="paragraph" w:styleId="BodyText">
    <w:name w:val="Body Text"/>
    <w:basedOn w:val="Normal"/>
    <w:pPr>
      <w:tabs>
        <w:tab w:val="left" w:pos="720"/>
        <w:tab w:val="left" w:pos="1080"/>
        <w:tab w:val="left" w:pos="1440"/>
        <w:tab w:val="left" w:pos="1800"/>
      </w:tabs>
    </w:pPr>
  </w:style>
  <w:style w:type="paragraph" w:customStyle="1" w:styleId="Numbers">
    <w:name w:val="Numbers"/>
    <w:basedOn w:val="BodyText"/>
    <w:pPr>
      <w:numPr>
        <w:numId w:val="5"/>
      </w:numPr>
    </w:pPr>
  </w:style>
  <w:style w:type="paragraph" w:customStyle="1" w:styleId="Bullets">
    <w:name w:val="Bullets"/>
    <w:basedOn w:val="BodyText"/>
    <w:pPr>
      <w:numPr>
        <w:numId w:val="6"/>
      </w:numPr>
    </w:pPr>
  </w:style>
  <w:style w:type="paragraph" w:styleId="BalloonText">
    <w:name w:val="Balloon Text"/>
    <w:basedOn w:val="Normal"/>
    <w:link w:val="BalloonTextChar"/>
    <w:rsid w:val="00C25E7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25E78"/>
    <w:rPr>
      <w:rFonts w:ascii="Tahoma" w:hAnsi="Tahoma" w:cs="Tahoma"/>
      <w:sz w:val="16"/>
      <w:szCs w:val="16"/>
    </w:rPr>
  </w:style>
  <w:style w:type="paragraph" w:styleId="FootnoteText">
    <w:name w:val="footnote text"/>
    <w:basedOn w:val="Normal"/>
    <w:link w:val="FootnoteTextChar"/>
    <w:rsid w:val="00861B22"/>
    <w:pPr>
      <w:spacing w:line="240" w:lineRule="auto"/>
    </w:pPr>
    <w:rPr>
      <w:sz w:val="20"/>
    </w:rPr>
  </w:style>
  <w:style w:type="character" w:customStyle="1" w:styleId="FootnoteTextChar">
    <w:name w:val="Footnote Text Char"/>
    <w:basedOn w:val="DefaultParagraphFont"/>
    <w:link w:val="FootnoteText"/>
    <w:rsid w:val="00861B22"/>
  </w:style>
  <w:style w:type="character" w:styleId="FootnoteReference">
    <w:name w:val="footnote reference"/>
    <w:basedOn w:val="DefaultParagraphFont"/>
    <w:rsid w:val="00861B22"/>
    <w:rPr>
      <w:vertAlign w:val="superscript"/>
    </w:rPr>
  </w:style>
  <w:style w:type="character" w:styleId="Hyperlink">
    <w:name w:val="Hyperlink"/>
    <w:basedOn w:val="DefaultParagraphFont"/>
    <w:rsid w:val="00B04E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4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tevemorse.org/jcal/latlonbatch.html?direction=rever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lates\abttemplates\Abt%20Standards\Abt%20Memorand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Props1.xml><?xml version="1.0" encoding="utf-8"?>
<ds:datastoreItem xmlns:ds="http://schemas.openxmlformats.org/officeDocument/2006/customXml" ds:itemID="{B3BC3874-124C-429C-BCFC-211B1AA052A5}"/>
</file>

<file path=customXml/itemProps2.xml><?xml version="1.0" encoding="utf-8"?>
<ds:datastoreItem xmlns:ds="http://schemas.openxmlformats.org/officeDocument/2006/customXml" ds:itemID="{7497903E-E0B0-4956-A4A9-2ACF2A356FC0}"/>
</file>

<file path=customXml/itemProps3.xml><?xml version="1.0" encoding="utf-8"?>
<ds:datastoreItem xmlns:ds="http://schemas.openxmlformats.org/officeDocument/2006/customXml" ds:itemID="{91FFAAFA-D21F-4A6F-8DF5-438046FA0061}"/>
</file>

<file path=customXml/itemProps4.xml><?xml version="1.0" encoding="utf-8"?>
<ds:datastoreItem xmlns:ds="http://schemas.openxmlformats.org/officeDocument/2006/customXml" ds:itemID="{B6853130-0AAA-4ABC-A9FB-DFEC489185EC}"/>
</file>

<file path=docProps/app.xml><?xml version="1.0" encoding="utf-8"?>
<Properties xmlns="http://schemas.openxmlformats.org/officeDocument/2006/extended-properties" xmlns:vt="http://schemas.openxmlformats.org/officeDocument/2006/docPropsVTypes">
  <Template>Abt Memorandum Template.dotx</Template>
  <TotalTime>74</TotalTime>
  <Pages>2</Pages>
  <Words>448</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Abt Memorandum Template</vt:lpstr>
    </vt:vector>
  </TitlesOfParts>
  <Company>Abt Associates Inc.</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Abt Memorandum Template</dc:title>
  <dc:creator>Jonathan Dorn</dc:creator>
  <cp:keywords>Memorandum Templates</cp:keywords>
  <cp:lastModifiedBy>Jonathan Dorn</cp:lastModifiedBy>
  <cp:revision>5</cp:revision>
  <cp:lastPrinted>2011-06-08T15:08:00Z</cp:lastPrinted>
  <dcterms:created xsi:type="dcterms:W3CDTF">2015-09-30T16:35:00Z</dcterms:created>
  <dcterms:modified xsi:type="dcterms:W3CDTF">2015-10-01T15:40:00Z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